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0"/>
    <w:p>
      <w:pPr>
        <w:pStyle w:val="Heading1"/>
      </w:pPr>
      <w:r>
        <w:t xml:space="preserve">Homiletics Analysis: Matthew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20 is a structurally rich chapter containing three distinct but thematically unified units: the Parable of the Workers in the Vineyard (vv. 1–16), the third and most detailed Passion prediction (vv. 17–19), and the request of the mother of Zebedee’s sons with its ensuing teaching on servant leadership (vv. 20–28), followed by a closing healing narrative (vv. 29–34). The chapter is bound together by a single governing preoccupation: the radical inversion of human economy that characterizes the kingdom of heaven. Those who calculate their standing before God — measuring hours worked, rank earned, or position deserved — will be confounded. Those who receive, serve, and cry out in need will be satisfied.</w:t>
      </w:r>
    </w:p>
    <w:p>
      <w:pPr>
        <w:pStyle w:val="BodyText"/>
      </w:pPr>
      <w:r>
        <w:t xml:space="preserve">The Parable of the Workers (vv. 1–16) opens the chapter with a deliberate shock: the landowner pays a full day’s wage to workers who labored only one hour, generating immediate protest from those who worked all day. The landowner’s reply is not an apology but a rebuke —</w:t>
      </w:r>
      <w:r>
        <w:t xml:space="preserve"> </w:t>
      </w:r>
      <w:r>
        <w:t xml:space="preserve">“Is your eye evil because I am good?”</w:t>
      </w:r>
      <w:r>
        <w:t xml:space="preserve"> </w:t>
      </w:r>
      <w:r>
        <w:t xml:space="preserve">The parable reframes generosity not as injustice but as sovereign grace, and the murmuring workers as those whose contractual imagination has blinded them to the nature of the kingdom. The closing inversion —</w:t>
      </w:r>
      <w:r>
        <w:t xml:space="preserve"> </w:t>
      </w:r>
      <w:r>
        <w:t xml:space="preserve">“the last will be first, and the first last”</w:t>
      </w:r>
      <w:r>
        <w:t xml:space="preserve"> </w:t>
      </w:r>
      <w:r>
        <w:t xml:space="preserve">— echoes Matthew 19:30 and creates a bracket around the parable, signaling that this unit answers the disciples’ implicit question from the rich young ruler episode: what does it mean to be</w:t>
      </w:r>
      <w:r>
        <w:t xml:space="preserve"> </w:t>
      </w:r>
      <w:r>
        <w:t xml:space="preserve">“great”</w:t>
      </w:r>
      <w:r>
        <w:t xml:space="preserve"> </w:t>
      </w:r>
      <w:r>
        <w:t xml:space="preserve">in the kingdom?</w:t>
      </w:r>
    </w:p>
    <w:p>
      <w:pPr>
        <w:pStyle w:val="BodyText"/>
      </w:pPr>
      <w:r>
        <w:t xml:space="preserve">The Passion prediction (vv. 17–19) is the most explicit of the three: betrayal, condemnation, mockery, flogging, crucifixion, and resurrection. Jesus is not carried toward the cross by fate — He is walking toward it with full knowledge, offering this knowledge to His disciples before it overtakes them.</w:t>
      </w:r>
    </w:p>
    <w:p>
      <w:pPr>
        <w:pStyle w:val="BodyText"/>
      </w:pPr>
      <w:r>
        <w:t xml:space="preserve">The request of James and John (vv. 20–28) arrives almost immediately after this Passion prediction, exposing the disciples’ persistent failure to grasp what Jesus has just said. They are still calculating seats of honor while He is narrating His own death. Jesus does not rebuke the ambition directly but redirects it: the cup He will drink (v. 22) is not a throne — it is suffering. And greatness in the kingdom is measured not by position over others but by service to them. The Son of Man did not come to be served but to serve, and to give His life as a ransom for many (v. 28) — the chapter’s theological summit.</w:t>
      </w:r>
    </w:p>
    <w:p>
      <w:pPr>
        <w:pStyle w:val="BodyText"/>
      </w:pPr>
      <w:r>
        <w:t xml:space="preserve">The healing of the two blind men (vv. 29–34) closes the chapter. Told to be quiet by the crowd, they cry out all the louder. Jesus stops, is moved with compassion, and restores their sight. They immediately follow Him. This narrative is not an appendix — it embodies the posture the entire chapter has been demanding: not the calculation of deserved honor, not the negotiation of position, but the unashamed cry of need, and discipleship in the wake of mercy.</w:t>
      </w:r>
    </w:p>
    <w:p>
      <w:pPr>
        <w:pStyle w:val="BodyText"/>
      </w:pPr>
      <w:r>
        <w:rPr>
          <w:b/>
          <w:bCs/>
        </w:rPr>
        <w:t xml:space="preserve">This Text — Intent</w:t>
      </w:r>
    </w:p>
    <w:p>
      <w:pPr>
        <w:pStyle w:val="BodyText"/>
      </w:pPr>
      <w:r>
        <w:t xml:space="preserve">God’s intent through Matthew 20 is to diagnose and uproot the transactional, merit-based imagination that governs human relationships and secretly governs the disciples’ relationship to the kingdom — and to replace it with the sovereign-grace economy of the kingdom, anchored in the self-giving death of the Son of Man. The chapter is not merely teaching a lesson about humility. It is performing a kind of surgery: exposing the</w:t>
      </w:r>
      <w:r>
        <w:t xml:space="preserve"> </w:t>
      </w:r>
      <w:r>
        <w:t xml:space="preserve">“evil eye”</w:t>
      </w:r>
      <w:r>
        <w:t xml:space="preserve"> </w:t>
      </w:r>
      <w:r>
        <w:t xml:space="preserve">that grumbles at grace, the ambitious heart that seeks position even after hearing of a cross, and calling every reader to the posture of the blind men — urgent, dependent, crying out for mercy, and ready to follow when Jesus turns toward them.</w:t>
      </w:r>
    </w:p>
    <w:p>
      <w:r>
        <w:pict>
          <v:rect style="width:0;height:1.5pt" o:hralign="center" o:hrstd="t" o:hr="t"/>
        </w:pict>
      </w:r>
    </w:p>
    <w:p>
      <w:pPr>
        <w:pStyle w:val="FirstParagraph"/>
      </w:pPr>
      <w:r>
        <w:rPr>
          <w:b/>
          <w:bCs/>
        </w:rPr>
        <w:t xml:space="preserve">Subject Sentence:</w:t>
      </w:r>
      <w:r>
        <w:t xml:space="preserve"> </w:t>
      </w:r>
      <w:r>
        <w:t xml:space="preserve">The kingdom of heaven operates by sovereign grace and servant sacrifice, inverting every human calculus of merit and status.</w:t>
      </w:r>
    </w:p>
    <w:p>
      <w:r>
        <w:pict>
          <v:rect style="width:0;height:1.5pt" o:hralign="center" o:hrstd="t" o:hr="t"/>
        </w:pict>
      </w:r>
    </w:p>
    <w:p>
      <w:pPr>
        <w:pStyle w:val="FirstParagraph"/>
      </w:pPr>
      <w:r>
        <w:rPr>
          <w:b/>
          <w:bCs/>
        </w:rPr>
        <w:t xml:space="preserve">Primary Claim:</w:t>
      </w:r>
      <w:r>
        <w:t xml:space="preserve"> </w:t>
      </w:r>
      <w:r>
        <w:t xml:space="preserve">God is dismantling the transactional, merit-based imagination of His people and replacing it with the kingdom economy of grace — one in which the last are first, greatness is measured by servanthood, and the Son of Man’s ransom-death is both the ground and the pattern of all that follows.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Workers — Grace or Fairness?</w:t>
      </w:r>
    </w:p>
    <w:p>
      <w:pPr>
        <w:pStyle w:val="BodyText"/>
      </w:pPr>
      <w:r>
        <w:t xml:space="preserve">The central interpretive controversy in vv. 1–16 is whether the parable is primarily about soteriological equality (all who enter the kingdom receive the same salvation regardless of when they entered — Gentile inclusion, deathbed conversions, etc.) or primarily about the disposition of the heart toward divine generosity. Many Lutheran and Baptist interpreters emphasize the first reading: the full wage to late workers illustrates that salvation is not earned by length of service, and the parable guards against any merit-based soteriology. This reading is not wrong — it is a genuine application of the parable’s logic — but it risks abstracting the parable into a doctrinal diagram about ordo salutis and missing its immediate rhetorical force.</w:t>
      </w:r>
    </w:p>
    <w:p>
      <w:pPr>
        <w:pStyle w:val="BodyText"/>
      </w:pPr>
      <w:r>
        <w:t xml:space="preserve">The context demands the second reading as primary: the parable is directed at the disciples’ question in Matthew 19:27 (</w:t>
      </w:r>
      <w:r>
        <w:t xml:space="preserve">“What then will we have?”</w:t>
      </w:r>
      <w:r>
        <w:t xml:space="preserve">) and brackets with 19:30 and 20:16 on the first/last inversion. The grumbling workers are not the unsaved — they are people who have oriented their relationship to the kingdom around what they deserve. The landowner’s question (</w:t>
      </w:r>
      <w:r>
        <w:t xml:space="preserve">“Is your eye evil because I am good?”</w:t>
      </w:r>
      <w:r>
        <w:t xml:space="preserve">) is the parable’s interpretive key: the problem is not theological error but a distorted affection — an inability to rejoice at another’s unearned blessing. The Reformed reading is preferred: this parable diagnoses the idol of spiritual merit and self-congratulation among those already in the kingdom’s service, and calls them to delight in sovereign grace rather than audit it.</w:t>
      </w:r>
    </w:p>
    <w:p>
      <w:pPr>
        <w:pStyle w:val="BodyText"/>
      </w:pPr>
      <w:r>
        <w:t xml:space="preserve">The late-workers-as-Gentiles reading (common in Dispensational and some Matthean redaction-critical frameworks) imports too much. The parable’s power is in its generality — it is not primarily about Israel and the nations but about the nature of divine generosity itself.</w:t>
      </w:r>
    </w:p>
    <w:p>
      <w:pPr>
        <w:pStyle w:val="BodyText"/>
      </w:pPr>
      <w:r>
        <w:rPr>
          <w:b/>
          <w:bCs/>
        </w:rPr>
        <w:t xml:space="preserve">The Ransom Saying — Substitution or Exemplarism?</w:t>
      </w:r>
    </w:p>
    <w:p>
      <w:pPr>
        <w:pStyle w:val="BodyText"/>
      </w:pPr>
      <w:r>
        <w:t xml:space="preserve">Matthew 20:28 (</w:t>
      </w:r>
      <w:r>
        <w:t xml:space="preserve">“the Son of Man came not to be served but to serve, and to give his life as a ransom for many”</w:t>
      </w:r>
      <w:r>
        <w:t xml:space="preserve">) is among the clearest substitutionary atonement texts in the Gospels. The word</w:t>
      </w:r>
      <w:r>
        <w:t xml:space="preserve"> </w:t>
      </w:r>
      <w:r>
        <w:rPr>
          <w:i/>
          <w:iCs/>
        </w:rPr>
        <w:t xml:space="preserve">lytron</w:t>
      </w:r>
      <w:r>
        <w:t xml:space="preserve"> </w:t>
      </w:r>
      <w:r>
        <w:t xml:space="preserve">(ransom) in its usage — combined with</w:t>
      </w:r>
      <w:r>
        <w:t xml:space="preserve"> </w:t>
      </w:r>
      <w:r>
        <w:rPr>
          <w:i/>
          <w:iCs/>
        </w:rPr>
        <w:t xml:space="preserve">anti pollōn</w:t>
      </w:r>
      <w:r>
        <w:t xml:space="preserve"> </w:t>
      </w:r>
      <w:r>
        <w:t xml:space="preserve">(in place of / for many) — carries unmistakable substitutionary freight. Some liberal-critical and Socinian-influenced readings reduce v. 28 to a moral example: Jesus models servant sacrifice, and the ransom language is metaphorical. This reading should be</w:t>
      </w:r>
      <w:r>
        <w:t xml:space="preserve"> </w:t>
      </w:r>
      <w:r>
        <w:rPr>
          <w:b/>
          <w:bCs/>
        </w:rPr>
        <w:t xml:space="preserve">refuted</w:t>
      </w:r>
      <w:r>
        <w:t xml:space="preserve">:</w:t>
      </w:r>
      <w:r>
        <w:t xml:space="preserve"> </w:t>
      </w:r>
      <w:r>
        <w:rPr>
          <w:i/>
          <w:iCs/>
        </w:rPr>
        <w:t xml:space="preserve">lytron anti</w:t>
      </w:r>
      <w:r>
        <w:t xml:space="preserve"> </w:t>
      </w:r>
      <w:r>
        <w:t xml:space="preserve">in the Greek world meant a price paid in the place of another to secure their release. The syntax resists exemplarist reduction. The Reformed and broadly evangelical reading is correct: Jesus is offering His life as a substitutionary payment for many, and this act is simultaneously the motivation and the pattern for the servant leadership He has just commanded.</w:t>
      </w:r>
    </w:p>
    <w:p>
      <w:pPr>
        <w:pStyle w:val="BodyText"/>
      </w:pPr>
      <w:r>
        <w:t xml:space="preserve">The</w:t>
      </w:r>
      <w:r>
        <w:t xml:space="preserve"> </w:t>
      </w:r>
      <w:r>
        <w:rPr>
          <w:i/>
          <w:iCs/>
        </w:rPr>
        <w:t xml:space="preserve">pollōn</w:t>
      </w:r>
      <w:r>
        <w:t xml:space="preserve"> </w:t>
      </w:r>
      <w:r>
        <w:t xml:space="preserve">(</w:t>
      </w:r>
      <w:r>
        <w:t xml:space="preserve">“many”</w:t>
      </w:r>
      <w:r>
        <w:t xml:space="preserve">) rather than</w:t>
      </w:r>
      <w:r>
        <w:t xml:space="preserve"> </w:t>
      </w:r>
      <w:r>
        <w:rPr>
          <w:i/>
          <w:iCs/>
        </w:rPr>
        <w:t xml:space="preserve">pantōn</w:t>
      </w:r>
      <w:r>
        <w:t xml:space="preserve"> </w:t>
      </w:r>
      <w:r>
        <w:t xml:space="preserve">(</w:t>
      </w:r>
      <w:r>
        <w:t xml:space="preserve">“all”</w:t>
      </w:r>
      <w:r>
        <w:t xml:space="preserve">) is worth noting for Reformed exposition: this is not an accident of phrasing but an echo of Isaiah 53:11-12, and in the Reformed tradition it grounds the doctrine of definite atonement. Lutheran interpreters tend to argue that</w:t>
      </w:r>
      <w:r>
        <w:t xml:space="preserve"> </w:t>
      </w:r>
      <w:r>
        <w:t xml:space="preserve">“many”</w:t>
      </w:r>
      <w:r>
        <w:t xml:space="preserve"> </w:t>
      </w:r>
      <w:r>
        <w:t xml:space="preserve">is Semitic for</w:t>
      </w:r>
      <w:r>
        <w:t xml:space="preserve"> </w:t>
      </w:r>
      <w:r>
        <w:t xml:space="preserve">“all”</w:t>
      </w:r>
      <w:r>
        <w:t xml:space="preserve"> </w:t>
      </w:r>
      <w:r>
        <w:t xml:space="preserve">and does not imply limitation. The Semitic idiom argument has merit and should be</w:t>
      </w:r>
      <w:r>
        <w:t xml:space="preserve"> </w:t>
      </w:r>
      <w:r>
        <w:rPr>
          <w:b/>
          <w:bCs/>
        </w:rPr>
        <w:t xml:space="preserve">acknowledged</w:t>
      </w:r>
      <w:r>
        <w:t xml:space="preserve"> </w:t>
      </w:r>
      <w:r>
        <w:t xml:space="preserve">— Matthew 20:28 alone cannot settle the atonement debate. But the Isaiah 53 resonance and the deliberate selection of</w:t>
      </w:r>
      <w:r>
        <w:t xml:space="preserve"> </w:t>
      </w:r>
      <w:r>
        <w:rPr>
          <w:i/>
          <w:iCs/>
        </w:rPr>
        <w:t xml:space="preserve">pollōn</w:t>
      </w:r>
      <w:r>
        <w:t xml:space="preserve"> </w:t>
      </w:r>
      <w:r>
        <w:t xml:space="preserve">in a theologically charged context deserves weight.</w:t>
      </w:r>
    </w:p>
    <w:p>
      <w:pPr>
        <w:pStyle w:val="BodyText"/>
      </w:pPr>
      <w:r>
        <w:rPr>
          <w:b/>
          <w:bCs/>
        </w:rPr>
        <w:t xml:space="preserve">The Sons of Zebedee Request — Ambition Condemned or Redirected?</w:t>
      </w:r>
    </w:p>
    <w:p>
      <w:pPr>
        <w:pStyle w:val="BodyText"/>
      </w:pPr>
      <w:r>
        <w:t xml:space="preserve">Some interpreters (especially in preaching traditions that emphasize kingdom ambition) read vv. 20–28 as affirming holy ambition and merely correcting its expression: it’s good to want to be great, just pursue greatness through service. This reading partially holds — Jesus does not say</w:t>
      </w:r>
      <w:r>
        <w:t xml:space="preserve"> </w:t>
      </w:r>
      <w:r>
        <w:t xml:space="preserve">“don’t want to be great”</w:t>
      </w:r>
      <w:r>
        <w:t xml:space="preserve"> </w:t>
      </w:r>
      <w:r>
        <w:t xml:space="preserve">but</w:t>
      </w:r>
      <w:r>
        <w:t xml:space="preserve"> </w:t>
      </w:r>
      <w:r>
        <w:t xml:space="preserve">“greatness looks like this.”</w:t>
      </w:r>
      <w:r>
        <w:t xml:space="preserve"> </w:t>
      </w:r>
      <w:r>
        <w:t xml:space="preserve">However, expositors must not domesticate the passage. The request comes immediately after the most explicit Passion prediction, revealing a profound spiritual deafness. Jesus’ gentle response (</w:t>
      </w:r>
      <w:r>
        <w:t xml:space="preserve">“You do not know what you are asking”</w:t>
      </w:r>
      <w:r>
        <w:t xml:space="preserve">) is a compassionate correction, not an endorsement of the instinct. The deeper point is that the kingdom’s definition of greatness is so foreign to human instinct that it requires ongoing revelation — which is why the Passion prediction precedes the request and the ransom saying concludes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53:10–12</w:t>
      </w:r>
      <w:r>
        <w:t xml:space="preserve"> </w:t>
      </w:r>
      <w:r>
        <w:t xml:space="preserve">— The Servant gives His life as an offering for guilt; He bears the sin of many (</w:t>
      </w:r>
      <w:r>
        <w:rPr>
          <w:i/>
          <w:iCs/>
        </w:rPr>
        <w:t xml:space="preserve">rabbim</w:t>
      </w:r>
      <w:r>
        <w:t xml:space="preserve">); He is the direct Old Testament antecedent to the ransom saying in v. 28. Matthew 20 is unintelligible without Isaiah 53 as its background.</w:t>
      </w:r>
    </w:p>
    <w:p>
      <w:pPr>
        <w:numPr>
          <w:ilvl w:val="0"/>
          <w:numId w:val="1001"/>
        </w:numPr>
      </w:pPr>
      <w:r>
        <w:rPr>
          <w:b/>
          <w:bCs/>
        </w:rPr>
        <w:t xml:space="preserve">Mark 10:42–45</w:t>
      </w:r>
      <w:r>
        <w:t xml:space="preserve"> </w:t>
      </w:r>
      <w:r>
        <w:t xml:space="preserve">— The Markan parallel to vv. 26–28, confirming the authenticity and centrality of the servant leadership teaching and the ransom saying; the Gospels’ mutual corroboration of this teaching establishes it as dominical bedrock, not editorial addition.</w:t>
      </w:r>
    </w:p>
    <w:p>
      <w:pPr>
        <w:numPr>
          <w:ilvl w:val="0"/>
          <w:numId w:val="1001"/>
        </w:numPr>
      </w:pPr>
      <w:r>
        <w:rPr>
          <w:b/>
          <w:bCs/>
        </w:rPr>
        <w:t xml:space="preserve">Luke 22:24–27</w:t>
      </w:r>
      <w:r>
        <w:t xml:space="preserve"> </w:t>
      </w:r>
      <w:r>
        <w:t xml:space="preserve">— The same dispute about greatness surfaces at the Last Supper, indicating this was a recurring failure among the disciples and a recurring corrective from Jesus; Luke’s</w:t>
      </w:r>
      <w:r>
        <w:t xml:space="preserve"> </w:t>
      </w:r>
      <w:r>
        <w:t xml:space="preserve">“I am among you as the one who serves”</w:t>
      </w:r>
      <w:r>
        <w:t xml:space="preserve"> </w:t>
      </w:r>
      <w:r>
        <w:t xml:space="preserve">ties it to the Table, deepening the connection between servant-sacrifice and Eucharistic self-giving.</w:t>
      </w:r>
    </w:p>
    <w:p>
      <w:pPr>
        <w:numPr>
          <w:ilvl w:val="0"/>
          <w:numId w:val="1001"/>
        </w:numPr>
      </w:pPr>
      <w:r>
        <w:rPr>
          <w:b/>
          <w:bCs/>
        </w:rPr>
        <w:t xml:space="preserve">Philippians 2:5–11</w:t>
      </w:r>
      <w:r>
        <w:t xml:space="preserve"> </w:t>
      </w:r>
      <w:r>
        <w:t xml:space="preserve">— Paul’s Christ-hymn provides the fullest theological articulation of the pattern Matthew 20 displays: self-emptying descent is the form of kingdom greatness; the mind of Christ is the mind the disciples are being called to adopt; exaltation follows humiliation in the divine economy.</w:t>
      </w:r>
    </w:p>
    <w:p>
      <w:pPr>
        <w:numPr>
          <w:ilvl w:val="0"/>
          <w:numId w:val="1001"/>
        </w:numPr>
      </w:pPr>
      <w:r>
        <w:rPr>
          <w:b/>
          <w:bCs/>
        </w:rPr>
        <w:t xml:space="preserve">Romans 3:21–26</w:t>
      </w:r>
      <w:r>
        <w:t xml:space="preserve"> </w:t>
      </w:r>
      <w:r>
        <w:t xml:space="preserve">— The ransom/redemption/propitiation cluster in Romans 3 provides the full Pauline exposition of what v. 28’s</w:t>
      </w:r>
      <w:r>
        <w:t xml:space="preserve"> </w:t>
      </w:r>
      <w:r>
        <w:rPr>
          <w:i/>
          <w:iCs/>
        </w:rPr>
        <w:t xml:space="preserve">lytron anti pollōn</w:t>
      </w:r>
      <w:r>
        <w:t xml:space="preserve"> </w:t>
      </w:r>
      <w:r>
        <w:t xml:space="preserve">achieves; preaching Matthew 20:28 without access to Romans 3 leaves the ransom saying underdeveloped.</w:t>
      </w:r>
    </w:p>
    <w:p>
      <w:r>
        <w:pict>
          <v:rect style="width:0;height:1.5pt" o:hralign="center" o:hrstd="t" o:hr="t"/>
        </w:pict>
      </w:r>
    </w:p>
    <w:p>
      <w:pPr>
        <w:pStyle w:val="FirstParagraph"/>
      </w:pPr>
      <w:r>
        <w:rPr>
          <w:b/>
          <w:bCs/>
        </w:rPr>
        <w:t xml:space="preserve">Aim:</w:t>
      </w:r>
      <w:r>
        <w:t xml:space="preserve"> </w:t>
      </w:r>
      <w:r>
        <w:t xml:space="preserve">To expose the merit-based imagination the reader brings to the kingdom and replace it with the sovereign-grace economy displayed in Christ’s servant-sacrifice, generating both gratitude for grace received and willingness to serve in the pattern of the Son of Man.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kingdom of heaven is like a landowner who hires workers at dawn for a denarius</w:t>
            </w:r>
          </w:p>
        </w:tc>
        <w:tc>
          <w:tcPr/>
          <w:p>
            <w:pPr>
              <w:pStyle w:val="Compact"/>
            </w:pPr>
            <w:r>
              <w:t xml:space="preserve">Sets the contractual baseline; the denarius = fair wage</w:t>
            </w:r>
          </w:p>
        </w:tc>
      </w:tr>
      <w:tr>
        <w:tc>
          <w:tcPr/>
          <w:p>
            <w:pPr>
              <w:pStyle w:val="Compact"/>
            </w:pPr>
            <w:r>
              <w:t xml:space="preserve">3–5</w:t>
            </w:r>
          </w:p>
        </w:tc>
        <w:tc>
          <w:tcPr/>
          <w:p>
            <w:pPr>
              <w:pStyle w:val="Compact"/>
            </w:pPr>
            <w:r>
              <w:t xml:space="preserve">Landowner returns at 9 a.m., noon, and 3 p.m. and hires more workers, promising</w:t>
            </w:r>
            <w:r>
              <w:t xml:space="preserve"> </w:t>
            </w:r>
            <w:r>
              <w:t xml:space="preserve">“whatever is right”</w:t>
            </w:r>
          </w:p>
        </w:tc>
        <w:tc>
          <w:tcPr/>
          <w:p>
            <w:pPr>
              <w:pStyle w:val="Compact"/>
            </w:pPr>
            <w:r>
              <w:t xml:space="preserve">No specific wage promised to later workers — intentional contrast with v. 2</w:t>
            </w:r>
          </w:p>
        </w:tc>
      </w:tr>
      <w:tr>
        <w:tc>
          <w:tcPr/>
          <w:p>
            <w:pPr>
              <w:pStyle w:val="Compact"/>
            </w:pPr>
            <w:r>
              <w:t xml:space="preserve">6–7</w:t>
            </w:r>
          </w:p>
        </w:tc>
        <w:tc>
          <w:tcPr/>
          <w:p>
            <w:pPr>
              <w:pStyle w:val="Compact"/>
            </w:pPr>
            <w:r>
              <w:t xml:space="preserve">Final hiring at 5 p.m. — workers standing idle because</w:t>
            </w:r>
            <w:r>
              <w:t xml:space="preserve"> </w:t>
            </w:r>
            <w:r>
              <w:t xml:space="preserve">“no one has hired us”</w:t>
            </w:r>
          </w:p>
        </w:tc>
        <w:tc>
          <w:tcPr/>
          <w:p>
            <w:pPr>
              <w:pStyle w:val="Compact"/>
            </w:pPr>
            <w:r>
              <w:t xml:space="preserve">The lateness is not laziness; the lateness is not their fault</w:t>
            </w:r>
          </w:p>
        </w:tc>
      </w:tr>
      <w:tr>
        <w:tc>
          <w:tcPr/>
          <w:p>
            <w:pPr>
              <w:pStyle w:val="Compact"/>
            </w:pPr>
            <w:r>
              <w:t xml:space="preserve">8</w:t>
            </w:r>
          </w:p>
        </w:tc>
        <w:tc>
          <w:tcPr/>
          <w:p>
            <w:pPr>
              <w:pStyle w:val="Compact"/>
            </w:pPr>
            <w:r>
              <w:t xml:space="preserve">At day’s end, the foreman is told to pay beginning with the last hired</w:t>
            </w:r>
          </w:p>
        </w:tc>
        <w:tc>
          <w:tcPr/>
          <w:p>
            <w:pPr>
              <w:pStyle w:val="Compact"/>
            </w:pPr>
            <w:r>
              <w:t xml:space="preserve">The reversal is deliberate and public</w:t>
            </w:r>
          </w:p>
        </w:tc>
      </w:tr>
      <w:tr>
        <w:tc>
          <w:tcPr/>
          <w:p>
            <w:pPr>
              <w:pStyle w:val="Compact"/>
            </w:pPr>
            <w:r>
              <w:t xml:space="preserve">9–10</w:t>
            </w:r>
          </w:p>
        </w:tc>
        <w:tc>
          <w:tcPr/>
          <w:p>
            <w:pPr>
              <w:pStyle w:val="Compact"/>
            </w:pPr>
            <w:r>
              <w:t xml:space="preserve">The last receive a full denarius; those hired first expect more, also receive one</w:t>
            </w:r>
          </w:p>
        </w:tc>
        <w:tc>
          <w:tcPr/>
          <w:p>
            <w:pPr>
              <w:pStyle w:val="Compact"/>
            </w:pPr>
            <w:r>
              <w:t xml:space="preserve">The expectation of the all-day workers is reasonable by human economy</w:t>
            </w:r>
          </w:p>
        </w:tc>
      </w:tr>
      <w:tr>
        <w:tc>
          <w:tcPr/>
          <w:p>
            <w:pPr>
              <w:pStyle w:val="Compact"/>
            </w:pPr>
            <w:r>
              <w:t xml:space="preserve">11–12</w:t>
            </w:r>
          </w:p>
        </w:tc>
        <w:tc>
          <w:tcPr/>
          <w:p>
            <w:pPr>
              <w:pStyle w:val="Compact"/>
            </w:pPr>
            <w:r>
              <w:t xml:space="preserve">The all-day workers grumble:</w:t>
            </w:r>
            <w:r>
              <w:t xml:space="preserve"> </w:t>
            </w:r>
            <w:r>
              <w:t xml:space="preserve">“you made them equal to us who bore the burden and scorching heat”</w:t>
            </w:r>
          </w:p>
        </w:tc>
        <w:tc>
          <w:tcPr/>
          <w:p>
            <w:pPr>
              <w:pStyle w:val="Compact"/>
            </w:pPr>
            <w:r>
              <w:t xml:space="preserve">The grievance is about equity, not need; they received exactly what was promised</w:t>
            </w:r>
          </w:p>
        </w:tc>
      </w:tr>
      <w:tr>
        <w:tc>
          <w:tcPr/>
          <w:p>
            <w:pPr>
              <w:pStyle w:val="Compact"/>
            </w:pPr>
            <w:r>
              <w:t xml:space="preserve">13–15</w:t>
            </w:r>
          </w:p>
        </w:tc>
        <w:tc>
          <w:tcPr/>
          <w:p>
            <w:pPr>
              <w:pStyle w:val="Compact"/>
            </w:pPr>
            <w:r>
              <w:t xml:space="preserve">The landowner rebukes:</w:t>
            </w:r>
            <w:r>
              <w:t xml:space="preserve"> </w:t>
            </w:r>
            <w:r>
              <w:t xml:space="preserve">“I am doing you no wrong… am I not allowed to do what I choose with what belongs to me? Is your eye evil because I am good?”</w:t>
            </w:r>
          </w:p>
        </w:tc>
        <w:tc>
          <w:tcPr/>
          <w:p>
            <w:pPr>
              <w:pStyle w:val="Compact"/>
            </w:pPr>
            <w:r>
              <w:t xml:space="preserve">The</w:t>
            </w:r>
            <w:r>
              <w:t xml:space="preserve"> </w:t>
            </w:r>
            <w:r>
              <w:t xml:space="preserve">“evil eye”</w:t>
            </w:r>
            <w:r>
              <w:t xml:space="preserve"> </w:t>
            </w:r>
            <w:r>
              <w:t xml:space="preserve">is the interpretive key: it is a heart condition, not a legal complaint</w:t>
            </w:r>
          </w:p>
        </w:tc>
      </w:tr>
      <w:tr>
        <w:tc>
          <w:tcPr/>
          <w:p>
            <w:pPr>
              <w:pStyle w:val="Compact"/>
            </w:pPr>
            <w:r>
              <w:t xml:space="preserve">16</w:t>
            </w:r>
          </w:p>
        </w:tc>
        <w:tc>
          <w:tcPr/>
          <w:p>
            <w:pPr>
              <w:pStyle w:val="Compact"/>
            </w:pPr>
            <w:r>
              <w:t xml:space="preserve">“The last will be first and the first last”</w:t>
            </w:r>
          </w:p>
        </w:tc>
        <w:tc>
          <w:tcPr/>
          <w:p>
            <w:pPr>
              <w:pStyle w:val="Compact"/>
            </w:pPr>
            <w:r>
              <w:t xml:space="preserve">Closing bracket with 19:30; frames the entire parable as kingdom inversion</w:t>
            </w:r>
          </w:p>
        </w:tc>
      </w:tr>
      <w:tr>
        <w:tc>
          <w:tcPr/>
          <w:p>
            <w:pPr>
              <w:pStyle w:val="Compact"/>
            </w:pPr>
            <w:r>
              <w:t xml:space="preserve">17–19</w:t>
            </w:r>
          </w:p>
        </w:tc>
        <w:tc>
          <w:tcPr/>
          <w:p>
            <w:pPr>
              <w:pStyle w:val="Compact"/>
            </w:pPr>
            <w:r>
              <w:t xml:space="preserve">Jesus privately tells the Twelve the full Passion sequence: betrayal, Gentile condemnation, mocking, flogging, crucifixion, resurrection on the third day</w:t>
            </w:r>
          </w:p>
        </w:tc>
        <w:tc>
          <w:tcPr/>
          <w:p>
            <w:pPr>
              <w:pStyle w:val="Compact"/>
            </w:pPr>
            <w:r>
              <w:t xml:space="preserve">Most explicit Passion prediction; disciples are being prepared, not surprised</w:t>
            </w:r>
          </w:p>
        </w:tc>
      </w:tr>
      <w:tr>
        <w:tc>
          <w:tcPr/>
          <w:p>
            <w:pPr>
              <w:pStyle w:val="Compact"/>
            </w:pPr>
            <w:r>
              <w:t xml:space="preserve">20–21</w:t>
            </w:r>
          </w:p>
        </w:tc>
        <w:tc>
          <w:tcPr/>
          <w:p>
            <w:pPr>
              <w:pStyle w:val="Compact"/>
            </w:pPr>
            <w:r>
              <w:t xml:space="preserve">The mother of Zebedee’s sons asks Jesus to seat her sons at His right and left in His kingdom</w:t>
            </w:r>
          </w:p>
        </w:tc>
        <w:tc>
          <w:tcPr/>
          <w:p>
            <w:pPr>
              <w:pStyle w:val="Compact"/>
            </w:pPr>
            <w:r>
              <w:t xml:space="preserve">The request follows immediately after the Passion prediction — the irony is sharp</w:t>
            </w:r>
          </w:p>
        </w:tc>
      </w:tr>
      <w:tr>
        <w:tc>
          <w:tcPr/>
          <w:p>
            <w:pPr>
              <w:pStyle w:val="Compact"/>
            </w:pPr>
            <w:r>
              <w:t xml:space="preserve">22</w:t>
            </w:r>
          </w:p>
        </w:tc>
        <w:tc>
          <w:tcPr/>
          <w:p>
            <w:pPr>
              <w:pStyle w:val="Compact"/>
            </w:pPr>
            <w:r>
              <w:t xml:space="preserve">Jesus:</w:t>
            </w:r>
            <w:r>
              <w:t xml:space="preserve"> </w:t>
            </w:r>
            <w:r>
              <w:t xml:space="preserve">“You do not know what you are asking. Are you able to drink the cup that I am about to drink?”</w:t>
            </w:r>
          </w:p>
        </w:tc>
        <w:tc>
          <w:tcPr/>
          <w:p>
            <w:pPr>
              <w:pStyle w:val="Compact"/>
            </w:pPr>
            <w:r>
              <w:t xml:space="preserve">The</w:t>
            </w:r>
            <w:r>
              <w:t xml:space="preserve"> </w:t>
            </w:r>
            <w:r>
              <w:t xml:space="preserve">“cup”</w:t>
            </w:r>
            <w:r>
              <w:t xml:space="preserve"> </w:t>
            </w:r>
            <w:r>
              <w:t xml:space="preserve">= suffering and death; cf. Gethsemane (26:39)</w:t>
            </w:r>
          </w:p>
        </w:tc>
      </w:tr>
      <w:tr>
        <w:tc>
          <w:tcPr/>
          <w:p>
            <w:pPr>
              <w:pStyle w:val="Compact"/>
            </w:pPr>
            <w:r>
              <w:t xml:space="preserve">22b–23</w:t>
            </w:r>
          </w:p>
        </w:tc>
        <w:tc>
          <w:tcPr/>
          <w:p>
            <w:pPr>
              <w:pStyle w:val="Compact"/>
            </w:pPr>
            <w:r>
              <w:t xml:space="preserve">They say they are able; Jesus affirms they will drink it, but the seats are not His to grant</w:t>
            </w:r>
          </w:p>
        </w:tc>
        <w:tc>
          <w:tcPr/>
          <w:p>
            <w:pPr>
              <w:pStyle w:val="Compact"/>
            </w:pPr>
            <w:r>
              <w:t xml:space="preserve">Correction without rejection; they will suffer; position is the Father’s to assign</w:t>
            </w:r>
          </w:p>
        </w:tc>
      </w:tr>
      <w:tr>
        <w:tc>
          <w:tcPr/>
          <w:p>
            <w:pPr>
              <w:pStyle w:val="Compact"/>
            </w:pPr>
            <w:r>
              <w:t xml:space="preserve">24</w:t>
            </w:r>
          </w:p>
        </w:tc>
        <w:tc>
          <w:tcPr/>
          <w:p>
            <w:pPr>
              <w:pStyle w:val="Compact"/>
            </w:pPr>
            <w:r>
              <w:t xml:space="preserve">The ten are indignant at James and John</w:t>
            </w:r>
          </w:p>
        </w:tc>
        <w:tc>
          <w:tcPr/>
          <w:p>
            <w:pPr>
              <w:pStyle w:val="Compact"/>
            </w:pPr>
            <w:r>
              <w:t xml:space="preserve">The same spirit operates in all twelve; the problem is systemic, not individual</w:t>
            </w:r>
          </w:p>
        </w:tc>
      </w:tr>
      <w:tr>
        <w:tc>
          <w:tcPr/>
          <w:p>
            <w:pPr>
              <w:pStyle w:val="Compact"/>
            </w:pPr>
            <w:r>
              <w:t xml:space="preserve">25–27</w:t>
            </w:r>
          </w:p>
        </w:tc>
        <w:tc>
          <w:tcPr/>
          <w:p>
            <w:pPr>
              <w:pStyle w:val="Compact"/>
            </w:pPr>
            <w:r>
              <w:t xml:space="preserve">Jesus contrasts kingdom leadership with Gentile lordship: not</w:t>
            </w:r>
            <w:r>
              <w:t xml:space="preserve"> </w:t>
            </w:r>
            <w:r>
              <w:t xml:space="preserve">“lording over”</w:t>
            </w:r>
            <w:r>
              <w:t xml:space="preserve"> </w:t>
            </w:r>
            <w:r>
              <w:t xml:space="preserve">but</w:t>
            </w:r>
            <w:r>
              <w:t xml:space="preserve"> </w:t>
            </w:r>
            <w:r>
              <w:t xml:space="preserve">“slave of all”</w:t>
            </w:r>
          </w:p>
        </w:tc>
        <w:tc>
          <w:tcPr/>
          <w:p>
            <w:pPr>
              <w:pStyle w:val="Compact"/>
            </w:pPr>
            <w:r>
              <w:t xml:space="preserve">The inversion is structural: in the kingdom, the leadership pyramid is upended</w:t>
            </w:r>
          </w:p>
        </w:tc>
      </w:tr>
      <w:tr>
        <w:tc>
          <w:tcPr/>
          <w:p>
            <w:pPr>
              <w:pStyle w:val="Compact"/>
            </w:pPr>
            <w:r>
              <w:t xml:space="preserve">28</w:t>
            </w:r>
          </w:p>
        </w:tc>
        <w:tc>
          <w:tcPr/>
          <w:p>
            <w:pPr>
              <w:pStyle w:val="Compact"/>
            </w:pPr>
            <w:r>
              <w:t xml:space="preserve">“The Son of Man came not to be served but to serve, and to give his life as a ransom for many”</w:t>
            </w:r>
          </w:p>
        </w:tc>
        <w:tc>
          <w:tcPr/>
          <w:p>
            <w:pPr>
              <w:pStyle w:val="Compact"/>
            </w:pPr>
            <w:r>
              <w:t xml:space="preserve">The theological summit of the chapter; grounds servant leadership in Christology</w:t>
            </w:r>
          </w:p>
        </w:tc>
      </w:tr>
      <w:tr>
        <w:tc>
          <w:tcPr/>
          <w:p>
            <w:pPr>
              <w:pStyle w:val="Compact"/>
            </w:pPr>
            <w:r>
              <w:t xml:space="preserve">29–30</w:t>
            </w:r>
          </w:p>
        </w:tc>
        <w:tc>
          <w:tcPr/>
          <w:p>
            <w:pPr>
              <w:pStyle w:val="Compact"/>
            </w:pPr>
            <w:r>
              <w:t xml:space="preserve">Two blind men cry out,</w:t>
            </w:r>
            <w:r>
              <w:t xml:space="preserve"> </w:t>
            </w:r>
            <w:r>
              <w:t xml:space="preserve">“Lord, Son of David, have mercy on us”</w:t>
            </w:r>
            <w:r>
              <w:t xml:space="preserve"> </w:t>
            </w:r>
            <w:r>
              <w:t xml:space="preserve">as Jesus leaves Jericho</w:t>
            </w:r>
          </w:p>
        </w:tc>
        <w:tc>
          <w:tcPr/>
          <w:p>
            <w:pPr>
              <w:pStyle w:val="Compact"/>
            </w:pPr>
            <w:r>
              <w:t xml:space="preserve">The crowd rebukes them; they cry louder — the posture the chapter has been demanding</w:t>
            </w:r>
          </w:p>
        </w:tc>
      </w:tr>
      <w:tr>
        <w:tc>
          <w:tcPr/>
          <w:p>
            <w:pPr>
              <w:pStyle w:val="Compact"/>
            </w:pPr>
            <w:r>
              <w:t xml:space="preserve">31–33</w:t>
            </w:r>
          </w:p>
        </w:tc>
        <w:tc>
          <w:tcPr/>
          <w:p>
            <w:pPr>
              <w:pStyle w:val="Compact"/>
            </w:pPr>
            <w:r>
              <w:t xml:space="preserve">They persist; Jesus stops and asks what they want; they ask for their eyes to be opened</w:t>
            </w:r>
          </w:p>
        </w:tc>
        <w:tc>
          <w:tcPr/>
          <w:p>
            <w:pPr>
              <w:pStyle w:val="Compact"/>
            </w:pPr>
            <w:r>
              <w:t xml:space="preserve">Jesus’ compassionate stopping contrasts with the crowd’s indifference</w:t>
            </w:r>
          </w:p>
        </w:tc>
      </w:tr>
      <w:tr>
        <w:tc>
          <w:tcPr/>
          <w:p>
            <w:pPr>
              <w:pStyle w:val="Compact"/>
            </w:pPr>
            <w:r>
              <w:t xml:space="preserve">34</w:t>
            </w:r>
          </w:p>
        </w:tc>
        <w:tc>
          <w:tcPr/>
          <w:p>
            <w:pPr>
              <w:pStyle w:val="Compact"/>
            </w:pPr>
            <w:r>
              <w:t xml:space="preserve">Jesus, moved with compassion, touches their eyes; they immediately receive sight and follow Him</w:t>
            </w:r>
          </w:p>
        </w:tc>
        <w:tc>
          <w:tcPr/>
          <w:p>
            <w:pPr>
              <w:pStyle w:val="Compact"/>
            </w:pPr>
            <w:r>
              <w:t xml:space="preserve">Discipleship begins in receiving mercy; following is the response to grace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Parable of the Workers: Grace Confounds Merit</w:t>
            </w:r>
          </w:p>
        </w:tc>
      </w:tr>
      <w:tr>
        <w:tc>
          <w:tcPr/>
          <w:p>
            <w:pPr>
              <w:pStyle w:val="Compact"/>
            </w:pPr>
            <w:r>
              <w:t xml:space="preserve">2</w:t>
            </w:r>
          </w:p>
        </w:tc>
        <w:tc>
          <w:tcPr/>
          <w:p>
            <w:pPr>
              <w:pStyle w:val="Compact"/>
            </w:pPr>
            <w:r>
              <w:t xml:space="preserve">17–19</w:t>
            </w:r>
          </w:p>
        </w:tc>
        <w:tc>
          <w:tcPr/>
          <w:p>
            <w:pPr>
              <w:pStyle w:val="Compact"/>
            </w:pPr>
            <w:r>
              <w:t xml:space="preserve">The Third Passion Prediction: The King Walks Toward His Cross</w:t>
            </w:r>
          </w:p>
        </w:tc>
      </w:tr>
      <w:tr>
        <w:tc>
          <w:tcPr/>
          <w:p>
            <w:pPr>
              <w:pStyle w:val="Compact"/>
            </w:pPr>
            <w:r>
              <w:t xml:space="preserve">3</w:t>
            </w:r>
          </w:p>
        </w:tc>
        <w:tc>
          <w:tcPr/>
          <w:p>
            <w:pPr>
              <w:pStyle w:val="Compact"/>
            </w:pPr>
            <w:r>
              <w:t xml:space="preserve">20–28</w:t>
            </w:r>
          </w:p>
        </w:tc>
        <w:tc>
          <w:tcPr/>
          <w:p>
            <w:pPr>
              <w:pStyle w:val="Compact"/>
            </w:pPr>
            <w:r>
              <w:t xml:space="preserve">The Request and the Redefining: Greatness Is Servanthood, Grounded in Ransom</w:t>
            </w:r>
          </w:p>
        </w:tc>
      </w:tr>
      <w:tr>
        <w:tc>
          <w:tcPr/>
          <w:p>
            <w:pPr>
              <w:pStyle w:val="Compact"/>
            </w:pPr>
            <w:r>
              <w:t xml:space="preserve">4</w:t>
            </w:r>
          </w:p>
        </w:tc>
        <w:tc>
          <w:tcPr/>
          <w:p>
            <w:pPr>
              <w:pStyle w:val="Compact"/>
            </w:pPr>
            <w:r>
              <w:t xml:space="preserve">29–34</w:t>
            </w:r>
          </w:p>
        </w:tc>
        <w:tc>
          <w:tcPr/>
          <w:p>
            <w:pPr>
              <w:pStyle w:val="Compact"/>
            </w:pPr>
            <w:r>
              <w:t xml:space="preserve">The Blind Men: The Posture the Chapter Demands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kingdom of heaven operates by sovereign grace and servant sacrifice, inverting every human calculus of merit and status.</w:t>
      </w:r>
    </w:p>
    <w:p>
      <w:pPr>
        <w:pStyle w:val="BodyText"/>
      </w:pPr>
      <w:r>
        <w:rPr>
          <w:b/>
          <w:bCs/>
        </w:rPr>
        <w:t xml:space="preserve">Primary Claim:</w:t>
      </w:r>
      <w:r>
        <w:t xml:space="preserve"> </w:t>
      </w:r>
      <w:r>
        <w:t xml:space="preserve">God is dismantling the transactional, merit-based imagination of His people and replacing it with the kingdom economy of grace — one in which the last are first, greatness is measured by servanthood, and the Son of Man’s ransom-death is both the ground and the pattern of all that follows.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auditing God’s grace toward others — your grumbling reveals an</w:t>
      </w:r>
      <w:r>
        <w:rPr>
          <w:b/>
          <w:bCs/>
        </w:rPr>
        <w:t xml:space="preserve"> </w:t>
      </w:r>
      <w:r>
        <w:rPr>
          <w:b/>
          <w:bCs/>
        </w:rPr>
        <w:t xml:space="preserve">“evil eye,”</w:t>
      </w:r>
      <w:r>
        <w:rPr>
          <w:b/>
          <w:bCs/>
        </w:rPr>
        <w:t xml:space="preserve"> </w:t>
      </w:r>
      <w:r>
        <w:rPr>
          <w:b/>
          <w:bCs/>
        </w:rPr>
        <w:t xml:space="preserve">not a just complaint.</w:t>
      </w:r>
      <w:r>
        <w:t xml:space="preserve"> </w:t>
      </w:r>
      <w:r>
        <w:rPr>
          <w:i/>
          <w:iCs/>
        </w:rPr>
        <w:t xml:space="preserve">(Mind/belief)</w:t>
      </w:r>
    </w:p>
    <w:p>
      <w:pPr>
        <w:pStyle w:val="BodyText"/>
      </w:pPr>
      <w:r>
        <w:t xml:space="preserve">The workers who labored all day received exactly what they were promised. Their problem was not injustice — it was that they could not bear to see another receive what they had not earned. Whenever you feel a slow burn at another believer’s undeserved blessing — their apparently effortless faith, their late-in-life conversion that seems to leapfrog your years of faithful service, their flourishing that doesn’t seem proportionate to their effort — you are standing in the landowner’s payline with an evil eye. The corrective is not to suppress the feeling but to diagnose it: the grumbling is not about them, it is about you, and what it reveals is that you have secretly made your relationship to God a contractual one rather than a grace one. Repent of the contract. You were never owed anything either.</w:t>
      </w:r>
    </w:p>
    <w:p>
      <w:pPr>
        <w:pStyle w:val="BodyText"/>
      </w:pPr>
      <w:r>
        <w:rPr>
          <w:b/>
          <w:bCs/>
        </w:rPr>
        <w:t xml:space="preserve">2. Let the specificity of Jesus’ walk toward the cross break your functional assumption that suffering is evidence of God’s distance.</w:t>
      </w:r>
      <w:r>
        <w:t xml:space="preserve"> </w:t>
      </w:r>
      <w:r>
        <w:rPr>
          <w:i/>
          <w:iCs/>
        </w:rPr>
        <w:t xml:space="preserve">(Affections/worship)</w:t>
      </w:r>
    </w:p>
    <w:p>
      <w:pPr>
        <w:pStyle w:val="BodyText"/>
      </w:pPr>
      <w:r>
        <w:t xml:space="preserve">Jesus told the Twelve exactly what was coming: betrayal, condemnation, mocking, flogging, crucifixion — and then resurrection. He walked toward Jerusalem with this knowledge in full. Whatever you are facing, you are not walking into a situation your Lord stumbled into blindly. He has preceded you in suffering with sovereign intentionality. The emotional response this should generate is not merely theological reassurance but worship — a deepened affection for a Savior who did not manage His suffering from a safe distance but entered it as a deliberate act of love. Let the third Passion prediction do what Jesus intended it to do: produce not just information about the cross but affection for the One who chose it.</w:t>
      </w:r>
    </w:p>
    <w:p>
      <w:pPr>
        <w:pStyle w:val="BodyText"/>
      </w:pPr>
      <w:r>
        <w:rPr>
          <w:b/>
          <w:bCs/>
        </w:rPr>
        <w:t xml:space="preserve">3. Identify the specific way you are currently using the kingdom for personal advancement — and surrender it.</w:t>
      </w:r>
      <w:r>
        <w:t xml:space="preserve"> </w:t>
      </w:r>
      <w:r>
        <w:rPr>
          <w:i/>
          <w:iCs/>
        </w:rPr>
        <w:t xml:space="preserve">(Will/behavior)</w:t>
      </w:r>
    </w:p>
    <w:p>
      <w:pPr>
        <w:pStyle w:val="BodyText"/>
      </w:pPr>
      <w:r>
        <w:t xml:space="preserve">James and John are not villains. They are disciples who have followed Jesus, left everything, and believed in His coming kingdom — and they still want the best seats. The problem is not that they cared about the kingdom; it is that they were still instinctively positioning within it. The question to ask concretely is not the generic</w:t>
      </w:r>
      <w:r>
        <w:t xml:space="preserve"> </w:t>
      </w:r>
      <w:r>
        <w:t xml:space="preserve">“am I humble?”</w:t>
      </w:r>
      <w:r>
        <w:t xml:space="preserve"> </w:t>
      </w:r>
      <w:r>
        <w:t xml:space="preserve">but the specific: Where in your service, ministry, career, or relationships are you maneuvering for the seat at the right hand? Where are you serving in a way that keeps one eye on who is noticing? Name it. The antidote Jesus offers is not self-flagellation but reorientation — toward the cup He drank, and toward the neighbor who needs a servant.</w:t>
      </w:r>
    </w:p>
    <w:p>
      <w:pPr>
        <w:pStyle w:val="BodyText"/>
      </w:pPr>
      <w:r>
        <w:rPr>
          <w:b/>
          <w:bCs/>
        </w:rPr>
        <w:t xml:space="preserve">4. Understand that your willingness to serve others has its root in Christology, not in moral effort — the ransom changes everything.</w:t>
      </w:r>
      <w:r>
        <w:t xml:space="preserve"> </w:t>
      </w:r>
      <w:r>
        <w:rPr>
          <w:i/>
          <w:iCs/>
        </w:rPr>
        <w:t xml:space="preserve">(Mind/belief)</w:t>
      </w:r>
    </w:p>
    <w:p>
      <w:pPr>
        <w:pStyle w:val="BodyText"/>
      </w:pPr>
      <w:r>
        <w:t xml:space="preserve">Jesus does not conclude His servant-leadership teaching with a motivational call to try harder. He concludes it with a theological fact:</w:t>
      </w:r>
      <w:r>
        <w:t xml:space="preserve"> </w:t>
      </w:r>
      <w:r>
        <w:t xml:space="preserve">“The Son of Man came not to be served but to serve, and to give his life as a ransom for many.”</w:t>
      </w:r>
      <w:r>
        <w:t xml:space="preserve"> </w:t>
      </w:r>
      <w:r>
        <w:t xml:space="preserve">The servant posture He demands is not grounded in a character ideal — it is grounded in what He accomplished. You serve because you have been ransomed. You give because you have been given to at infinite cost. Moralistic preaching on this passage says:</w:t>
      </w:r>
      <w:r>
        <w:t xml:space="preserve"> </w:t>
      </w:r>
      <w:r>
        <w:t xml:space="preserve">“Be like Jesus — serve others.”</w:t>
      </w:r>
      <w:r>
        <w:t xml:space="preserve"> </w:t>
      </w:r>
      <w:r>
        <w:t xml:space="preserve">Gospel preaching says:</w:t>
      </w:r>
      <w:r>
        <w:t xml:space="preserve"> </w:t>
      </w:r>
      <w:r>
        <w:t xml:space="preserve">“Jesus served you at the cost of His life — now you are free to serve others from that abundance.”</w:t>
      </w:r>
      <w:r>
        <w:t xml:space="preserve"> </w:t>
      </w:r>
      <w:r>
        <w:t xml:space="preserve">The difference is not cosmetic; it is the difference between a burden and a liberation.</w:t>
      </w:r>
    </w:p>
    <w:p>
      <w:pPr>
        <w:pStyle w:val="BodyText"/>
      </w:pPr>
      <w:r>
        <w:rPr>
          <w:b/>
          <w:bCs/>
        </w:rPr>
        <w:t xml:space="preserve">5. Cry out with the boldness of the blind men — stop being silenced by the crowd’s estimate of your worthiness.</w:t>
      </w:r>
      <w:r>
        <w:t xml:space="preserve"> </w:t>
      </w:r>
      <w:r>
        <w:rPr>
          <w:i/>
          <w:iCs/>
        </w:rPr>
        <w:t xml:space="preserve">(Affections/worship)</w:t>
      </w:r>
    </w:p>
    <w:p>
      <w:pPr>
        <w:pStyle w:val="BodyText"/>
      </w:pPr>
      <w:r>
        <w:t xml:space="preserve">The crowd told the blind men to be quiet. The crowd’s logic: you are too far back, too insignificant, too late. Their response: they cried out all the louder. And Jesus stopped. This is the posture the entire chapter has been building toward — not the calculation of the all-day workers, not the positioning of James and John, but the unashamed, persistent, escalating cry of those who know they have nothing to offer and everything to ask. Wherever you have been quieted by the crowd’s verdict —</w:t>
      </w:r>
      <w:r>
        <w:t xml:space="preserve"> </w:t>
      </w:r>
      <w:r>
        <w:t xml:space="preserve">“you’ve sinned too much, you’ve waited too long, you don’t have enough faith, you’re not the right kind of person”</w:t>
      </w:r>
      <w:r>
        <w:t xml:space="preserve"> </w:t>
      </w:r>
      <w:r>
        <w:t xml:space="preserve">— cry out louder. Jesus stops for this. He is moved with compassion by this. This is what the kingdom of heaven looks like from the receiving end.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20 reveals that the kingdom of heaven operates by a logic foreign to every human economy: sovereign grace rather than contractual merit, descent rather than ascent, ransom rather than reward. The chapter teaches three things about God simultaneously: He is the generous landowner who is not accountable to human auditors of His grace (vv. 1–16); He is the Son of Man who walks toward His own death with full knowledge and sovereign intention, not as victim but as Servant (vv. 17–19, 28); and He is the compassionate Lord who stops for the cry of the marginalized even when the crowd urges Him forward (vv. 29–34). These three revelations are not separate doctrines — they are one integrated picture of the God whose definition of greatness is exhaustively displayed in the cross.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20 is a structural pillar of Reformed soteriology and ecclesiology precisely because it refuses both merit and sentimentalism. The parable of the workers grounds salvation firmly in the sovereign generosity of God — the denarius is given, not earned, and God’s freedom to give as He chooses is asserted, not apologized for. This is the heartbeat of sola gratia. The ransom saying of v. 28 (</w:t>
      </w:r>
      <w:r>
        <w:rPr>
          <w:i/>
          <w:iCs/>
        </w:rPr>
        <w:t xml:space="preserve">lytron anti pollōn</w:t>
      </w:r>
      <w:r>
        <w:t xml:space="preserve">) provides one of the clearest Gospel-side anchors for substitutionary atonement, with the Isaiah 53 backdrop making the Servant-theology of the Old Testament the direct antecedent to the cross. Reformed ecclesiology is shaped by vv. 25–28 as well: the church is not a hierarchy ascending toward power but a community descending toward service, with authority measured by the capacity to bear others’ burdens rather than to exercise dominion over them. The chapter’s closing healing narrative locates the proper posture of the believer not in negotiation or achievement but in the cry of need answered by the compassion of Christ — the shape of grace from beginning to end.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kingdom of heaven does not run on what you deserve — it runs on what God gives. Jesus walked toward His cross with His eyes open, paid a ransom you could never have earned, and stopped for blind men the crowd had written off. The only currency that works in this kingdom is not hours of service, positions of rank, or claims of seniority — it is need, honestly expressed, and mercy, freely received. Stop calculating your standing. Cry out. Follow.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parable to a lesson about fairness rather than a diagnosis of the heart.</w:t>
      </w:r>
      <w:r>
        <w:t xml:space="preserve"> </w:t>
      </w:r>
      <w:r>
        <w:t xml:space="preserve">The parable is not primarily making a point about God’s right to do what He wants (though it does make that point). Its rhetorical target is the</w:t>
      </w:r>
      <w:r>
        <w:t xml:space="preserve"> </w:t>
      </w:r>
      <w:r>
        <w:t xml:space="preserve">“evil eye”</w:t>
      </w:r>
      <w:r>
        <w:t xml:space="preserve"> </w:t>
      </w:r>
      <w:r>
        <w:t xml:space="preserve">— the affective distortion that cannot celebrate another’s unearned grace. Preaching that stays at the level of divine sovereignty misses the pastoral and spiritual-diagnostic force of the passage. The landowner’s question (</w:t>
      </w:r>
      <w:r>
        <w:t xml:space="preserve">“Is your eye evil because I am good?”</w:t>
      </w:r>
      <w:r>
        <w:t xml:space="preserve">) is the sermon — not the wage decision.</w:t>
      </w:r>
    </w:p>
    <w:p>
      <w:pPr>
        <w:numPr>
          <w:ilvl w:val="0"/>
          <w:numId w:val="1002"/>
        </w:numPr>
      </w:pPr>
      <w:r>
        <w:rPr>
          <w:b/>
          <w:bCs/>
        </w:rPr>
        <w:t xml:space="preserve">Preaching the servant-leadership passage (vv. 20–28) as a moralistic call to humility without grounding it in v. 28.</w:t>
      </w:r>
      <w:r>
        <w:t xml:space="preserve"> </w:t>
      </w:r>
      <w:r>
        <w:t xml:space="preserve">This is the most common homiletical failure in this section. If the sermon moves from</w:t>
      </w:r>
      <w:r>
        <w:t xml:space="preserve"> </w:t>
      </w:r>
      <w:r>
        <w:t xml:space="preserve">“James and John were wrong”</w:t>
      </w:r>
      <w:r>
        <w:t xml:space="preserve"> </w:t>
      </w:r>
      <w:r>
        <w:t xml:space="preserve">to</w:t>
      </w:r>
      <w:r>
        <w:t xml:space="preserve"> </w:t>
      </w:r>
      <w:r>
        <w:t xml:space="preserve">“you should serve others”</w:t>
      </w:r>
      <w:r>
        <w:t xml:space="preserve"> </w:t>
      </w:r>
      <w:r>
        <w:t xml:space="preserve">without stopping at</w:t>
      </w:r>
      <w:r>
        <w:t xml:space="preserve"> </w:t>
      </w:r>
      <w:r>
        <w:t xml:space="preserve">“the Son of Man gave His life as a ransom,”</w:t>
      </w:r>
      <w:r>
        <w:t xml:space="preserve"> </w:t>
      </w:r>
      <w:r>
        <w:t xml:space="preserve">the preaching is Clowney-moralism: be like Jesus, don’t be like James and John. The ransom saying is not the passage’s appendix — it is its engine. Applications of servant leadership must be tethered to Christology, not extracted from it.</w:t>
      </w:r>
    </w:p>
    <w:p>
      <w:pPr>
        <w:numPr>
          <w:ilvl w:val="0"/>
          <w:numId w:val="1002"/>
        </w:numPr>
      </w:pPr>
      <w:r>
        <w:rPr>
          <w:b/>
          <w:bCs/>
        </w:rPr>
        <w:t xml:space="preserve">Missing the structural irony of the Passion prediction followed immediately by the throne request.</w:t>
      </w:r>
      <w:r>
        <w:t xml:space="preserve"> </w:t>
      </w:r>
      <w:r>
        <w:t xml:space="preserve">The disciples ask for seats of honor within three verses of Jesus narrating His own crucifixion. This irony is not accidental — it is the chapter’s diagnostic of the gap between hearing and understanding, between information and transformation. A sermon that does not sit in this irony long enough will miss the chapter’s hardest question: Am I doing the same thing? Am I filling my ears with the gospel while my heart continues to negotiate for position?</w:t>
      </w:r>
    </w:p>
    <w:p>
      <w:pPr>
        <w:numPr>
          <w:ilvl w:val="0"/>
          <w:numId w:val="1002"/>
        </w:numPr>
      </w:pPr>
      <w:r>
        <w:rPr>
          <w:b/>
          <w:bCs/>
        </w:rPr>
        <w:t xml:space="preserve">Treating the healing of the blind men (vv. 29–34) as a standalone miracle story unconnected to the chapter.</w:t>
      </w:r>
      <w:r>
        <w:t xml:space="preserve"> </w:t>
      </w:r>
      <w:r>
        <w:t xml:space="preserve">This narrative closes the chapter precisely because it embodies the posture the parable and the servant-teaching have been demanding. The blind men do not calculate; they cry out. They are told to be quiet by those who have been around Jesus longer; they cry out louder. They receive sight and immediately follow. This is the chapter’s enacted conclusion. To preach it as merely a miracle story about faith is to miss its architectural function as the positive image of what grace-dependence looks like in practice.</w:t>
      </w:r>
    </w:p>
    <w:p>
      <w:pPr>
        <w:numPr>
          <w:ilvl w:val="0"/>
          <w:numId w:val="1002"/>
        </w:numPr>
      </w:pPr>
      <w:r>
        <w:rPr>
          <w:b/>
          <w:bCs/>
        </w:rPr>
        <w:t xml:space="preserve">Applying the parable exclusively to evangelism (late converts = Gentiles or deathbed conversions) and missing its intra-community force.</w:t>
      </w:r>
      <w:r>
        <w:t xml:space="preserve"> </w:t>
      </w:r>
      <w:r>
        <w:t xml:space="preserve">The parable’s immediate audience is the disciples — people already in the kingdom’s service. Its primary application is not about the theology of who gets in, but about the disposition of those already in toward divine generosity. Evangelistic applications are valid but secondary. Leading with them can insulate the congregation from the passage’s most uncomfortable target: the long-faithful believer who has quietly developed a ledger-based relationship to God.</w:t>
      </w:r>
    </w:p>
    <w:p>
      <w:pPr>
        <w:numPr>
          <w:ilvl w:val="0"/>
          <w:numId w:val="1002"/>
        </w:numPr>
      </w:pPr>
      <w:r>
        <w:rPr>
          <w:b/>
          <w:bCs/>
        </w:rPr>
        <w:t xml:space="preserve">Underpreaching the ransom saying.</w:t>
      </w:r>
      <w:r>
        <w:t xml:space="preserve"> </w:t>
      </w:r>
      <w:r>
        <w:t xml:space="preserve">Matthew 20:28 is one of the Gospels’ clearest statements of substitutionary atonement, and it arrives embedded in a narrative about servant leadership. Preachers who rush past it to get to the application of servanthood, and preachers who spend so long on its atonement theology that they lose the connection to the servant-leadership context, both mishandle it. The ransom saying is doing double duty: it is simultaneously the ground of atonement theology and the motive force of kingdom ethics. Preach both, together.</w:t>
      </w:r>
    </w:p>
    <w:p>
      <w:r>
        <w:pict>
          <v:rect style="width:0;height:1.5pt" o:hralign="center" o:hrstd="t" o:hr="t"/>
        </w:pict>
      </w:r>
    </w:p>
    <w:p>
      <w:pPr>
        <w:pStyle w:val="FirstParagraph"/>
      </w:pPr>
      <w:r>
        <w:rPr>
          <w:i/>
          <w:iCs/>
        </w:rPr>
        <w:t xml:space="preserve">Document generated per CLAUDE2.md framework. Filename: 40 Matthew 20.docx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2026-07-14T21:07:10Z</dcterms:created>
  <dcterms:modified xsi:type="dcterms:W3CDTF">2026-07-14T21:07:10Z</dcterms:modified>
</cp:coreProperties>
</file>

<file path=docProps/custom.xml><?xml version="1.0" encoding="utf-8"?>
<Properties xmlns="http://schemas.openxmlformats.org/officeDocument/2006/custom-properties" xmlns:vt="http://schemas.openxmlformats.org/officeDocument/2006/docPropsVTypes"/>
</file>